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斐林试剂(Fehling’s solution)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RC21540</w:t>
      </w:r>
    </w:p>
    <w:bookmarkEnd w:id="0"/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产品简介：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斐林</w:t>
      </w:r>
      <w:r>
        <w:rPr>
          <w:rFonts w:ascii="宋体" w:hAnsi="宋体" w:eastAsia="宋体" w:cs="宋体"/>
          <w:sz w:val="24"/>
          <w:szCs w:val="24"/>
        </w:rPr>
        <w:t>试剂(Fehling's solution)又称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菲林</w:t>
      </w:r>
      <w:r>
        <w:rPr>
          <w:rFonts w:ascii="宋体" w:hAnsi="宋体" w:eastAsia="宋体" w:cs="宋体"/>
          <w:sz w:val="24"/>
          <w:szCs w:val="24"/>
        </w:rPr>
        <w:t>试剂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或裴林试剂</w:t>
      </w:r>
      <w:r>
        <w:rPr>
          <w:rFonts w:ascii="宋体" w:hAnsi="宋体" w:eastAsia="宋体" w:cs="宋体"/>
          <w:sz w:val="24"/>
          <w:szCs w:val="24"/>
        </w:rPr>
        <w:t>，是德国化学家 Hermann von Fehling 1849 年所发明。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斐林</w:t>
      </w:r>
      <w:r>
        <w:rPr>
          <w:rFonts w:ascii="宋体" w:hAnsi="宋体" w:eastAsia="宋体" w:cs="宋体"/>
          <w:sz w:val="24"/>
          <w:szCs w:val="24"/>
        </w:rPr>
        <w:t>试剂与 Benedict's Reagent 相似，均是用来检测还原糖的存在。其原理是不可溶性的还原性糖(葡萄糖、果糖和麦芽糖)在加热的条件下，能够生成砖红色的氧化亚铜沉淀。其颜色变化顺序为：浅蓝色--棕色--砖红色(沉淀)。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 xml:space="preserve"> Fehling's solution 主要由酒石酸钠钾、硫酸铜配等组成，常用于鉴定可溶性 的还原性糖，常用于尿糖的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定性</w:t>
      </w:r>
      <w:r>
        <w:rPr>
          <w:rFonts w:ascii="宋体" w:hAnsi="宋体" w:eastAsia="宋体" w:cs="宋体"/>
          <w:sz w:val="24"/>
          <w:szCs w:val="24"/>
        </w:rPr>
        <w:t>鉴定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、不宜用于定量检测。斐林</w:t>
      </w:r>
      <w:r>
        <w:rPr>
          <w:rFonts w:ascii="宋体" w:hAnsi="宋体" w:eastAsia="宋体" w:cs="宋体"/>
          <w:sz w:val="24"/>
          <w:szCs w:val="24"/>
        </w:rPr>
        <w:t>试剂仅用于科研用途，不宜用于 临床检测。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产品组成：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183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846" w:type="dxa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438400" cy="571500"/>
                      <wp:effectExtent l="1270" t="4445" r="17780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11555" y="5440045"/>
                                <a:ext cx="243840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0.15pt;height:45pt;width:192pt;z-index:251660288;mso-width-relative:page;mso-height-relative:page;" filled="f" stroked="t" coordsize="21600,21600" o:gfxdata="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V5Ge9UAAAAGAQAA&#10;DwAAAAAAAAABACAAAAAiAAAAZHJzL2Rvd25yZXYueG1sUEsBAhQAFAAAAAgAh07iQEuAS2/jAQAA&#10;lgMAAA4AAAAAAAAAAQAgAAAAJAEAAGRycy9lMm9Eb2MueG1sUEsFBgAAAAAGAAYAWQEAAHkFAAAA&#10;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编号</w:t>
            </w:r>
          </w:p>
          <w:p>
            <w:pPr>
              <w:rPr>
                <w:rFonts w:hint="default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RC21540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2*100ml</w:t>
            </w:r>
          </w:p>
        </w:tc>
        <w:tc>
          <w:tcPr>
            <w:tcW w:w="165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b/>
                <w:i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试剂(A):</w:t>
            </w:r>
            <w:r>
              <w:rPr>
                <w:rFonts w:ascii="宋体" w:hAnsi="宋体" w:eastAsia="宋体" w:cs="宋体"/>
                <w:sz w:val="24"/>
                <w:szCs w:val="24"/>
              </w:rPr>
              <w:t>Fehling's solution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A</w:t>
            </w:r>
          </w:p>
        </w:tc>
        <w:tc>
          <w:tcPr>
            <w:tcW w:w="18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165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试剂(B): </w:t>
            </w:r>
            <w:r>
              <w:rPr>
                <w:rFonts w:ascii="宋体" w:hAnsi="宋体" w:eastAsia="宋体" w:cs="宋体"/>
                <w:sz w:val="24"/>
                <w:szCs w:val="24"/>
              </w:rPr>
              <w:t>Fehling's solution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B</w:t>
            </w:r>
          </w:p>
        </w:tc>
        <w:tc>
          <w:tcPr>
            <w:tcW w:w="18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165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使用说明书</w:t>
            </w:r>
          </w:p>
        </w:tc>
        <w:tc>
          <w:tcPr>
            <w:tcW w:w="3480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rPr>
          <w:rFonts w:hint="eastAsia" w:ascii="Arial" w:hAnsi="Arial" w:eastAsia="宋体" w:cs="Arial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自备材料：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eastAsia="宋体"/>
          <w:lang w:val="en-US" w:eastAsia="zh-CN"/>
        </w:rPr>
        <w:t>试管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加热装置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操作步奏：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配制 Fehling's solution 工作液：临用前，取适量试剂 (A)、试剂(B)等量混合，即为 Fehling's solution 工作液，即配即用。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向试管中加入 2ml 待测样品。 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向试管中加入 1ml Fehling's solution 工作液，充分摇匀。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把上述混合液置于 50～65℃水浴中，并持续 2～3min。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观察试管内混合液颜色是否发生变化。其颜色变化顺序应为浅蓝色--棕色--砖红色(沉淀)。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染色结果：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还原性糖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（如核糖、葡萄糖、果糖等）</w:t>
            </w:r>
          </w:p>
        </w:tc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砖红色沉淀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非</w:t>
            </w:r>
            <w:r>
              <w:rPr>
                <w:rFonts w:ascii="宋体" w:hAnsi="宋体" w:eastAsia="宋体" w:cs="宋体"/>
                <w:sz w:val="24"/>
                <w:szCs w:val="24"/>
              </w:rPr>
              <w:t>还原性糖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（蔗糖、淀粉等）</w:t>
            </w:r>
          </w:p>
        </w:tc>
        <w:tc>
          <w:tcPr>
            <w:tcW w:w="4608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无颜色变化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eastAsia="宋体"/>
          <w:vertAlign w:val="baseline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如是糖尿病人，检验前两三天最好停止服药。 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本试剂仅用于科研用途，不宜用于临床检测。 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为了您的安全和健康，请穿实验服并戴一次性手套操作。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宋体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有效期：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6个月有效</w:t>
      </w:r>
      <w:r>
        <w:rPr>
          <w:rFonts w:hint="eastAsia" w:eastAsia="宋体"/>
          <w:b/>
          <w:sz w:val="21"/>
          <w:szCs w:val="21"/>
          <w:lang w:val="en-US" w:eastAsia="zh-CN"/>
        </w:rPr>
        <w:t>.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1750695" cy="717550"/>
          <wp:effectExtent l="0" t="0" r="1905" b="6350"/>
          <wp:docPr id="1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C960C"/>
    <w:multiLevelType w:val="singleLevel"/>
    <w:tmpl w:val="DF3C96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7FC090"/>
    <w:multiLevelType w:val="singleLevel"/>
    <w:tmpl w:val="F57FC0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930CCF9"/>
    <w:multiLevelType w:val="singleLevel"/>
    <w:tmpl w:val="6930CC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5FB4"/>
    <w:rsid w:val="08314152"/>
    <w:rsid w:val="0EF37BC9"/>
    <w:rsid w:val="133270C2"/>
    <w:rsid w:val="13747265"/>
    <w:rsid w:val="17C72D48"/>
    <w:rsid w:val="1C4A5DCF"/>
    <w:rsid w:val="1ECA2316"/>
    <w:rsid w:val="1ED51427"/>
    <w:rsid w:val="1F4E4523"/>
    <w:rsid w:val="206B29DA"/>
    <w:rsid w:val="28B56640"/>
    <w:rsid w:val="2B0A5988"/>
    <w:rsid w:val="32697AD0"/>
    <w:rsid w:val="33DD54DD"/>
    <w:rsid w:val="379A6CEF"/>
    <w:rsid w:val="383D440E"/>
    <w:rsid w:val="41A22227"/>
    <w:rsid w:val="41E11C5E"/>
    <w:rsid w:val="420D54F7"/>
    <w:rsid w:val="436A76C0"/>
    <w:rsid w:val="45E25A53"/>
    <w:rsid w:val="47EA0923"/>
    <w:rsid w:val="4F6010CA"/>
    <w:rsid w:val="5AC853F2"/>
    <w:rsid w:val="5ED02D02"/>
    <w:rsid w:val="60340CB9"/>
    <w:rsid w:val="60B92B56"/>
    <w:rsid w:val="623A6919"/>
    <w:rsid w:val="63FC59EE"/>
    <w:rsid w:val="6D6B48A6"/>
    <w:rsid w:val="6D8E5CCF"/>
    <w:rsid w:val="6FC448F0"/>
    <w:rsid w:val="6FD47DB9"/>
    <w:rsid w:val="79E44FEE"/>
    <w:rsid w:val="7BD1728A"/>
    <w:rsid w:val="7D403820"/>
    <w:rsid w:val="7E5E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2020-07-16T01:14:45Z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2052-11.1.0.9828</vt:lpwstr>
  </property>
</Properties>
</file>